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2025/22</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Via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Telefono cellulare ____________________ E-mail __________________________________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1308593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partecipare all’interpello per: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Ordine scolastico: 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1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Tipologia di posto: 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7.64007568359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Periodo della supplenza: dal ____________ al 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Orario settimanale: ______ ore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escluso dall’elettorato politico attivo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trovarsi in una delle condizioni ostative di cui al Decreto Legislativo 31 dicembre 2012 n. 235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 preso visione dell’informativa sul trattamento dei dati personali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iscritto/a nelle liste elettorali del comune di ___________________;</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riportato condanne penali (anche se sono stati concessi amnistia, indulto, condono) in Italia e/o all’estero, ovvero di aver riportato le seguenti condanne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(apporre una </w:t>
      </w: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specializzazione per l’ordine scolastico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laurea in Scienze della formazione primaria </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laurea magistrale in psicologia, pedagogia, scienze della formazione o titoli di studio che danno accesso all’insegnamento (ad es. laurea in lettere, lingue straniere, ecc.). Specificare il titolo di studio: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9">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altri titoli di studio. Specificare il titolo di studio: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20 punti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8">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9">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471710205078125"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penali: dichiarare il falso in atti pubblici, come una dichiarazione per la partecipazione ad un interpello, costituisce reato di falsità ideologica, punibile ai sensi dell’art. 76 del DPR 445/2000. Questo può comportare pene detentive e sanzioni pecuniarie;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Copia del proprio documento di identità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553466796875" w:line="240" w:lineRule="auto"/>
        <w:ind w:left="25.839996337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(luogo e data)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1708984375" w:line="240" w:lineRule="auto"/>
        <w:ind w:left="9.8199462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2447.18017578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